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overflowPunct/>
        <w:spacing w:line="240" w:lineRule="auto"/>
        <w:jc w:val="left"/>
        <w:rPr>
          <w:rFonts w:hint="eastAsia" w:ascii="黑体" w:hAnsi="黑体" w:eastAsia="黑体" w:cs="黑体"/>
          <w:color w:val="auto"/>
          <w:spacing w:val="-10"/>
          <w:sz w:val="32"/>
          <w:szCs w:val="32"/>
          <w:lang w:val="en-US" w:eastAsia="zh-CN"/>
        </w:rPr>
      </w:pPr>
      <w:r>
        <w:rPr>
          <w:rFonts w:hint="eastAsia" w:ascii="黑体" w:hAnsi="黑体" w:eastAsia="黑体" w:cs="黑体"/>
          <w:color w:val="auto"/>
          <w:spacing w:val="-10"/>
          <w:sz w:val="32"/>
          <w:szCs w:val="32"/>
        </w:rPr>
        <w:t>附</w:t>
      </w:r>
      <w:r>
        <w:rPr>
          <w:rFonts w:hint="eastAsia" w:ascii="黑体" w:hAnsi="黑体" w:eastAsia="黑体" w:cs="黑体"/>
          <w:color w:val="auto"/>
          <w:spacing w:val="-10"/>
          <w:sz w:val="32"/>
          <w:szCs w:val="32"/>
          <w:lang w:eastAsia="zh-CN"/>
        </w:rPr>
        <w:t>件</w:t>
      </w:r>
      <w:r>
        <w:rPr>
          <w:rFonts w:hint="eastAsia" w:ascii="黑体" w:hAnsi="黑体" w:eastAsia="黑体" w:cs="黑体"/>
          <w:color w:val="auto"/>
          <w:spacing w:val="-10"/>
          <w:sz w:val="32"/>
          <w:szCs w:val="32"/>
          <w:lang w:val="en-US" w:eastAsia="zh-CN"/>
        </w:rPr>
        <w:t>2</w:t>
      </w:r>
    </w:p>
    <w:p>
      <w:pPr>
        <w:widowControl w:val="0"/>
        <w:overflowPunct w:val="0"/>
        <w:spacing w:line="360" w:lineRule="auto"/>
        <w:ind w:firstLine="720" w:firstLineChars="200"/>
        <w:jc w:val="center"/>
        <w:rPr>
          <w:rFonts w:hint="eastAsia" w:ascii="方正小标宋简体" w:hAnsi="方正小标宋简体" w:eastAsia="方正小标宋简体" w:cs="方正小标宋简体"/>
          <w:color w:val="auto"/>
          <w:sz w:val="36"/>
          <w:szCs w:val="36"/>
          <w:lang w:val="en-US" w:eastAsia="zh-CN"/>
        </w:rPr>
      </w:pPr>
    </w:p>
    <w:p>
      <w:pPr>
        <w:widowControl w:val="0"/>
        <w:overflowPunct w:val="0"/>
        <w:spacing w:line="360" w:lineRule="auto"/>
        <w:ind w:firstLine="880" w:firstLineChars="200"/>
        <w:jc w:val="center"/>
        <w:rPr>
          <w:rFonts w:hint="eastAsia"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44"/>
          <w:szCs w:val="44"/>
          <w:lang w:val="en-US" w:eastAsia="zh-CN"/>
        </w:rPr>
        <w:t>2025年度</w:t>
      </w:r>
      <w:r>
        <w:rPr>
          <w:rFonts w:hint="eastAsia" w:ascii="方正小标宋简体" w:hAnsi="方正小标宋简体" w:eastAsia="方正小标宋简体" w:cs="方正小标宋简体"/>
          <w:color w:val="auto"/>
          <w:sz w:val="44"/>
          <w:szCs w:val="44"/>
          <w:lang w:eastAsia="zh-CN"/>
        </w:rPr>
        <w:t>部门</w:t>
      </w:r>
      <w:r>
        <w:rPr>
          <w:rFonts w:hint="eastAsia" w:ascii="方正小标宋简体" w:hAnsi="方正小标宋简体" w:eastAsia="方正小标宋简体" w:cs="方正小标宋简体"/>
          <w:color w:val="auto"/>
          <w:sz w:val="44"/>
          <w:szCs w:val="44"/>
        </w:rPr>
        <w:t>内部控制评价</w:t>
      </w:r>
      <w:r>
        <w:rPr>
          <w:rFonts w:hint="eastAsia" w:ascii="方正小标宋简体" w:hAnsi="方正小标宋简体" w:eastAsia="方正小标宋简体" w:cs="方正小标宋简体"/>
          <w:color w:val="auto"/>
          <w:sz w:val="44"/>
          <w:szCs w:val="44"/>
          <w:lang w:eastAsia="zh-CN"/>
        </w:rPr>
        <w:t>基本</w:t>
      </w:r>
      <w:r>
        <w:rPr>
          <w:rFonts w:hint="eastAsia" w:ascii="方正小标宋简体" w:hAnsi="方正小标宋简体" w:eastAsia="方正小标宋简体" w:cs="方正小标宋简体"/>
          <w:color w:val="auto"/>
          <w:sz w:val="44"/>
          <w:szCs w:val="44"/>
        </w:rPr>
        <w:t>指标</w:t>
      </w:r>
    </w:p>
    <w:tbl>
      <w:tblPr>
        <w:tblStyle w:val="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1084"/>
        <w:gridCol w:w="1696"/>
        <w:gridCol w:w="3875"/>
        <w:gridCol w:w="596"/>
        <w:gridCol w:w="4819"/>
        <w:gridCol w:w="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blHeader/>
        </w:trPr>
        <w:tc>
          <w:tcPr>
            <w:tcW w:w="283"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b/>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评价</w:t>
            </w:r>
          </w:p>
          <w:p>
            <w:pPr>
              <w:keepNext w:val="0"/>
              <w:keepLines w:val="0"/>
              <w:widowControl/>
              <w:suppressLineNumbers w:val="0"/>
              <w:spacing w:line="340" w:lineRule="exact"/>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类别</w:t>
            </w:r>
          </w:p>
        </w:tc>
        <w:tc>
          <w:tcPr>
            <w:tcW w:w="404"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一级评价指标</w:t>
            </w:r>
          </w:p>
        </w:tc>
        <w:tc>
          <w:tcPr>
            <w:tcW w:w="63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b/>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二级评</w:t>
            </w:r>
          </w:p>
          <w:p>
            <w:pPr>
              <w:keepNext w:val="0"/>
              <w:keepLines w:val="0"/>
              <w:widowControl/>
              <w:suppressLineNumbers w:val="0"/>
              <w:spacing w:line="340" w:lineRule="exact"/>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价指标</w:t>
            </w:r>
          </w:p>
        </w:tc>
        <w:tc>
          <w:tcPr>
            <w:tcW w:w="1443"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评价内容</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分值</w:t>
            </w:r>
          </w:p>
        </w:tc>
        <w:tc>
          <w:tcPr>
            <w:tcW w:w="1796"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评分细则</w:t>
            </w:r>
          </w:p>
        </w:tc>
        <w:tc>
          <w:tcPr>
            <w:tcW w:w="218"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3"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一、部门本级及所属单位内部控制体系建立与实施情况</w:t>
            </w:r>
          </w:p>
        </w:tc>
        <w:tc>
          <w:tcPr>
            <w:tcW w:w="404"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组织层面内部控制</w:t>
            </w:r>
          </w:p>
        </w:tc>
        <w:tc>
          <w:tcPr>
            <w:tcW w:w="632"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议事决策机制</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“三重一大”事项集体决策机制建立与实施情况。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3</w:t>
            </w:r>
          </w:p>
        </w:tc>
        <w:tc>
          <w:tcPr>
            <w:tcW w:w="1796" w:type="pct"/>
            <w:noWrap w:val="0"/>
            <w:vAlign w:val="center"/>
          </w:tcPr>
          <w:p>
            <w:pPr>
              <w:spacing w:line="340" w:lineRule="exact"/>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color w:val="auto"/>
                <w:kern w:val="0"/>
                <w:sz w:val="24"/>
                <w:szCs w:val="24"/>
                <w:lang w:bidi="ar"/>
              </w:rPr>
              <w:t>部门二级评价指标的评价内容得分</w:t>
            </w:r>
            <w:r>
              <w:rPr>
                <w:rFonts w:hint="eastAsia" w:ascii="仿宋_GB2312" w:hAnsi="仿宋_GB2312" w:eastAsia="仿宋_GB2312" w:cs="仿宋_GB2312"/>
                <w:color w:val="auto"/>
                <w:kern w:val="0"/>
                <w:sz w:val="24"/>
                <w:szCs w:val="24"/>
                <w:lang w:eastAsia="zh-CN" w:bidi="ar"/>
              </w:rPr>
              <w:t>，按</w:t>
            </w:r>
            <w:r>
              <w:rPr>
                <w:rFonts w:hint="eastAsia" w:ascii="仿宋_GB2312" w:hAnsi="仿宋_GB2312" w:eastAsia="仿宋_GB2312" w:cs="仿宋_GB2312"/>
                <w:color w:val="auto"/>
                <w:kern w:val="0"/>
                <w:sz w:val="24"/>
                <w:szCs w:val="24"/>
                <w:lang w:bidi="ar"/>
              </w:rPr>
              <w:t>部门本级及所属单位对应指标得分加权平均计算得出。</w:t>
            </w:r>
            <w:r>
              <w:rPr>
                <w:rFonts w:hint="eastAsia" w:ascii="仿宋_GB2312" w:hAnsi="仿宋_GB2312" w:eastAsia="仿宋_GB2312" w:cs="仿宋_GB2312"/>
                <w:b/>
                <w:bCs/>
                <w:i w:val="0"/>
                <w:color w:val="auto"/>
                <w:kern w:val="0"/>
                <w:sz w:val="24"/>
                <w:szCs w:val="24"/>
                <w:u w:val="none"/>
                <w:lang w:val="en-US" w:eastAsia="zh-CN" w:bidi="ar"/>
              </w:rPr>
              <w:t>本项指标得分由系统自动计算生成</w:t>
            </w:r>
            <w:r>
              <w:rPr>
                <w:rFonts w:hint="eastAsia" w:ascii="仿宋_GB2312" w:hAnsi="仿宋_GB2312" w:eastAsia="仿宋_GB2312" w:cs="仿宋_GB2312"/>
                <w:i w:val="0"/>
                <w:color w:val="auto"/>
                <w:kern w:val="0"/>
                <w:sz w:val="24"/>
                <w:szCs w:val="24"/>
                <w:u w:val="none"/>
                <w:lang w:val="en-US" w:eastAsia="zh-CN" w:bidi="ar"/>
              </w:rPr>
              <w:t>。</w:t>
            </w: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内部权力运行</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分事行权、分岗设权、分级授权。</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5</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eastAsia="zh-CN"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定期轮岗。</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2</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组织架构</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内部控制组织架构设置及运行情况。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2</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财务信息</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会计核算和财务报告。</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1</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信息化</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内部控制信息化建设和使用情况。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3</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业务层面内部控制</w:t>
            </w:r>
          </w:p>
        </w:tc>
        <w:tc>
          <w:tcPr>
            <w:tcW w:w="632"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预算业务控制</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预算业务内部控制建立情况。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预算业务内部控制实施情况。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收支业务控制</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收支业务内部控制建立情况。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收支业务内部控制实施情况。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政府采购业务控制</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政府采购业务内部控制建立情况。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政府采购业务内部控制实施情况。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资产控制</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资产内部控制建立情况。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bookmarkStart w:id="0" w:name="_GoBack"/>
            <w:bookmarkEnd w:id="0"/>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资产内部控制实施情况。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建设项目控制</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建设项目内部控制建立情况。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建设项目内部控制实施情况。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合同控制</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合同内部控制建立情况。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合同内部控制实施情况。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内部</w:t>
            </w:r>
          </w:p>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监督</w:t>
            </w:r>
          </w:p>
        </w:tc>
        <w:tc>
          <w:tcPr>
            <w:tcW w:w="632"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内部监督机制建立情况</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职责分离情况。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1</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内部会计监督情况。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1</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restar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内部监督机制实施情况</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开展检查情况。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1</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3" w:type="pct"/>
            <w:vMerge w:val="continue"/>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continue"/>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问题整改情况。</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3</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同上。</w:t>
            </w:r>
          </w:p>
        </w:tc>
        <w:tc>
          <w:tcPr>
            <w:tcW w:w="218" w:type="pct"/>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763" w:type="pct"/>
            <w:gridSpan w:val="4"/>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小计</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70</w:t>
            </w:r>
          </w:p>
        </w:tc>
        <w:tc>
          <w:tcPr>
            <w:tcW w:w="1796" w:type="pct"/>
            <w:noWrap w:val="0"/>
            <w:vAlign w:val="center"/>
          </w:tcPr>
          <w:p>
            <w:pPr>
              <w:spacing w:line="340" w:lineRule="exact"/>
              <w:textAlignment w:val="center"/>
              <w:rPr>
                <w:rFonts w:hint="eastAsia" w:ascii="仿宋_GB2312" w:hAnsi="仿宋_GB2312" w:eastAsia="仿宋_GB2312" w:cs="仿宋_GB2312"/>
                <w:i w:val="0"/>
                <w:color w:val="auto"/>
                <w:kern w:val="0"/>
                <w:sz w:val="24"/>
                <w:szCs w:val="24"/>
                <w:u w:val="none"/>
                <w:lang w:bidi="ar"/>
              </w:rPr>
            </w:pP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283" w:type="pct"/>
            <w:vMerge w:val="restart"/>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二、部门内部控制工作开展情况</w:t>
            </w:r>
          </w:p>
        </w:tc>
        <w:tc>
          <w:tcPr>
            <w:tcW w:w="404"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部门对本级及所属单位内部控制的指导与监督情况</w:t>
            </w:r>
          </w:p>
        </w:tc>
        <w:tc>
          <w:tcPr>
            <w:tcW w:w="632"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对本级及所属单位内部控制的指导情况</w:t>
            </w:r>
          </w:p>
        </w:tc>
        <w:tc>
          <w:tcPr>
            <w:tcW w:w="14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部门是否通过召开内部控制工作会或制定与内部控制相关的文件等方式部署内部控制工作。</w:t>
            </w:r>
          </w:p>
        </w:tc>
        <w:tc>
          <w:tcPr>
            <w:tcW w:w="2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2</w:t>
            </w:r>
          </w:p>
        </w:tc>
        <w:tc>
          <w:tcPr>
            <w:tcW w:w="17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年度内召开工作部署会或制定文件的，得2分；均未开展的，不得分。</w:t>
            </w:r>
          </w:p>
        </w:tc>
        <w:tc>
          <w:tcPr>
            <w:tcW w:w="218" w:type="pct"/>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83"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404"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632"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4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部门是否对本级及所属单位开展内部控制相关的培训或制定内部控制指导性文件。</w:t>
            </w:r>
          </w:p>
        </w:tc>
        <w:tc>
          <w:tcPr>
            <w:tcW w:w="2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4</w:t>
            </w:r>
          </w:p>
        </w:tc>
        <w:tc>
          <w:tcPr>
            <w:tcW w:w="17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年度内开展与内部控制相关的培训或制定指导性文件的，得4分；均未开展的，不得分。</w:t>
            </w:r>
          </w:p>
        </w:tc>
        <w:tc>
          <w:tcPr>
            <w:tcW w:w="218" w:type="pct"/>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283"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404"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632"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4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部门是否设置单位内部控制评价补充指标。</w:t>
            </w:r>
          </w:p>
        </w:tc>
        <w:tc>
          <w:tcPr>
            <w:tcW w:w="2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4</w:t>
            </w:r>
          </w:p>
        </w:tc>
        <w:tc>
          <w:tcPr>
            <w:tcW w:w="17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设置3个（不含）以上指标的，得4分；3个指标的，得3分；2个指标的，得2分；1个指标的，得1分；未设置的，不得分。</w:t>
            </w:r>
            <w:r>
              <w:rPr>
                <w:rFonts w:hint="eastAsia" w:ascii="仿宋_GB2312" w:hAnsi="仿宋_GB2312" w:eastAsia="仿宋_GB2312" w:cs="仿宋_GB2312"/>
                <w:b/>
                <w:bCs/>
                <w:i w:val="0"/>
                <w:color w:val="auto"/>
                <w:kern w:val="0"/>
                <w:sz w:val="24"/>
                <w:szCs w:val="24"/>
                <w:u w:val="none"/>
                <w:lang w:val="en-US" w:eastAsia="zh-CN" w:bidi="ar"/>
              </w:rPr>
              <w:t>本项指标得分由系统自动计算生成</w:t>
            </w:r>
            <w:r>
              <w:rPr>
                <w:rFonts w:hint="eastAsia" w:ascii="仿宋_GB2312" w:hAnsi="仿宋_GB2312" w:eastAsia="仿宋_GB2312" w:cs="仿宋_GB2312"/>
                <w:i w:val="0"/>
                <w:color w:val="auto"/>
                <w:kern w:val="0"/>
                <w:sz w:val="24"/>
                <w:szCs w:val="24"/>
                <w:u w:val="none"/>
                <w:lang w:val="en-US" w:eastAsia="zh-CN" w:bidi="ar"/>
              </w:rPr>
              <w:t>。</w:t>
            </w:r>
          </w:p>
        </w:tc>
        <w:tc>
          <w:tcPr>
            <w:tcW w:w="218" w:type="pct"/>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283"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对本级及所属单位内部控制的监督情况</w:t>
            </w:r>
          </w:p>
        </w:tc>
        <w:tc>
          <w:tcPr>
            <w:tcW w:w="14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部门是否按规定对本级及所属单位内部控制评价报告开展复核工作，并且复核质量较高。</w:t>
            </w:r>
          </w:p>
        </w:tc>
        <w:tc>
          <w:tcPr>
            <w:tcW w:w="2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4</w:t>
            </w:r>
          </w:p>
        </w:tc>
        <w:tc>
          <w:tcPr>
            <w:tcW w:w="17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已按规定完成复核工作且复核质量较高的，得4分；仅开展复核工作，但复核质量一般的，得2分；未开展复核工作的，不得分。</w:t>
            </w:r>
          </w:p>
        </w:tc>
        <w:tc>
          <w:tcPr>
            <w:tcW w:w="218" w:type="pct"/>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283"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continue"/>
            <w:tcBorders>
              <w:left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4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部门是否建立健全监督机制，对本级及所属单位内部控制的建立与执行情况开展核查。</w:t>
            </w:r>
          </w:p>
        </w:tc>
        <w:tc>
          <w:tcPr>
            <w:tcW w:w="2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3</w:t>
            </w:r>
          </w:p>
        </w:tc>
        <w:tc>
          <w:tcPr>
            <w:tcW w:w="17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已建立健全对所属单位的监督机制并组织开展核查的，得3分；仅建立监督机制或仅开展核查的，得2分；既未建立监督机制也未开展核查的，不得分。</w:t>
            </w:r>
          </w:p>
        </w:tc>
        <w:tc>
          <w:tcPr>
            <w:tcW w:w="218" w:type="pct"/>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83"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40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632"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4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部门是否对核查中发现的问题提出改进建议并跟踪监督整改情况。</w:t>
            </w:r>
          </w:p>
        </w:tc>
        <w:tc>
          <w:tcPr>
            <w:tcW w:w="2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3</w:t>
            </w:r>
          </w:p>
        </w:tc>
        <w:tc>
          <w:tcPr>
            <w:tcW w:w="17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对核查中发现的问题提出改进建议并跟踪监督整改情况的，得3分；仅提出改进建议或仅跟踪监督整改情况的，得2分；均未开展的，不得分。</w:t>
            </w:r>
          </w:p>
        </w:tc>
        <w:tc>
          <w:tcPr>
            <w:tcW w:w="218" w:type="pct"/>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2763" w:type="pct"/>
            <w:gridSpan w:val="4"/>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小计</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w:t>
            </w:r>
          </w:p>
        </w:tc>
        <w:tc>
          <w:tcPr>
            <w:tcW w:w="1796" w:type="pct"/>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28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三、补充指标</w:t>
            </w:r>
          </w:p>
        </w:tc>
        <w:tc>
          <w:tcPr>
            <w:tcW w:w="1036" w:type="pct"/>
            <w:gridSpan w:val="2"/>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补充指标</w:t>
            </w:r>
          </w:p>
        </w:tc>
        <w:tc>
          <w:tcPr>
            <w:tcW w:w="1443"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val="en-US" w:bidi="ar"/>
              </w:rPr>
            </w:pPr>
            <w:r>
              <w:rPr>
                <w:rFonts w:hint="eastAsia" w:ascii="仿宋_GB2312" w:hAnsi="仿宋_GB2312" w:eastAsia="仿宋_GB2312" w:cs="仿宋_GB2312"/>
                <w:i w:val="0"/>
                <w:color w:val="auto"/>
                <w:kern w:val="0"/>
                <w:sz w:val="24"/>
                <w:szCs w:val="24"/>
                <w:u w:val="none"/>
                <w:lang w:val="en-US" w:eastAsia="zh-CN" w:bidi="ar"/>
              </w:rPr>
              <w:t>由部门自行制定。</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10</w:t>
            </w:r>
          </w:p>
        </w:tc>
        <w:tc>
          <w:tcPr>
            <w:tcW w:w="1796" w:type="pct"/>
            <w:noWrap w:val="0"/>
            <w:vAlign w:val="center"/>
          </w:tcPr>
          <w:p>
            <w:pPr>
              <w:keepNext w:val="0"/>
              <w:keepLines w:val="0"/>
              <w:widowControl/>
              <w:suppressLineNumbers w:val="0"/>
              <w:spacing w:line="340" w:lineRule="exact"/>
              <w:jc w:val="left"/>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部门根据履职范围和行业特点，自行制定的评价指标。</w:t>
            </w: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2763" w:type="pct"/>
            <w:gridSpan w:val="4"/>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合计</w:t>
            </w:r>
          </w:p>
        </w:tc>
        <w:tc>
          <w:tcPr>
            <w:tcW w:w="222" w:type="pct"/>
            <w:noWrap w:val="0"/>
            <w:vAlign w:val="center"/>
          </w:tcPr>
          <w:p>
            <w:pPr>
              <w:keepNext w:val="0"/>
              <w:keepLines w:val="0"/>
              <w:widowControl/>
              <w:suppressLineNumbers w:val="0"/>
              <w:spacing w:line="34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100</w:t>
            </w:r>
          </w:p>
        </w:tc>
        <w:tc>
          <w:tcPr>
            <w:tcW w:w="1796" w:type="pct"/>
            <w:noWrap w:val="0"/>
            <w:vAlign w:val="center"/>
          </w:tcPr>
          <w:p>
            <w:pPr>
              <w:spacing w:line="340" w:lineRule="exact"/>
              <w:jc w:val="left"/>
              <w:textAlignment w:val="center"/>
              <w:rPr>
                <w:rFonts w:hint="eastAsia" w:ascii="仿宋_GB2312" w:hAnsi="仿宋_GB2312" w:eastAsia="仿宋_GB2312" w:cs="仿宋_GB2312"/>
                <w:i w:val="0"/>
                <w:color w:val="auto"/>
                <w:kern w:val="0"/>
                <w:sz w:val="24"/>
                <w:szCs w:val="24"/>
                <w:u w:val="none"/>
                <w:lang w:bidi="ar"/>
              </w:rPr>
            </w:pPr>
          </w:p>
        </w:tc>
        <w:tc>
          <w:tcPr>
            <w:tcW w:w="218" w:type="pct"/>
            <w:noWrap w:val="0"/>
            <w:vAlign w:val="center"/>
          </w:tcPr>
          <w:p>
            <w:pPr>
              <w:spacing w:line="340" w:lineRule="exact"/>
              <w:jc w:val="both"/>
              <w:rPr>
                <w:rFonts w:hint="eastAsia" w:ascii="仿宋_GB2312" w:hAnsi="仿宋_GB2312" w:eastAsia="仿宋_GB2312" w:cs="仿宋_GB2312"/>
                <w:i w:val="0"/>
                <w:color w:val="auto"/>
                <w:sz w:val="24"/>
                <w:szCs w:val="24"/>
                <w:u w:val="none"/>
              </w:rPr>
            </w:pPr>
          </w:p>
        </w:tc>
      </w:tr>
    </w:tbl>
    <w:p>
      <w:pPr>
        <w:keepNext w:val="0"/>
        <w:keepLines w:val="0"/>
        <w:pageBreakBefore w:val="0"/>
        <w:widowControl w:val="0"/>
        <w:kinsoku/>
        <w:wordWrap/>
        <w:overflowPunct w:val="0"/>
        <w:topLinePunct w:val="0"/>
        <w:autoSpaceDE/>
        <w:autoSpaceDN/>
        <w:bidi w:val="0"/>
        <w:adjustRightInd/>
        <w:snapToGrid/>
        <w:spacing w:line="360" w:lineRule="auto"/>
        <w:ind w:firstLine="480" w:firstLineChars="200"/>
        <w:jc w:val="left"/>
        <w:textAlignment w:val="auto"/>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rPr>
        <w:t>注</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1.</w:t>
      </w:r>
      <w:r>
        <w:rPr>
          <w:rFonts w:hint="eastAsia" w:ascii="仿宋_GB2312" w:hAnsi="仿宋_GB2312" w:eastAsia="仿宋_GB2312" w:cs="仿宋_GB2312"/>
          <w:color w:val="auto"/>
          <w:sz w:val="24"/>
          <w:szCs w:val="24"/>
        </w:rPr>
        <w:t>因</w:t>
      </w:r>
      <w:r>
        <w:rPr>
          <w:rFonts w:hint="eastAsia" w:ascii="仿宋_GB2312" w:hAnsi="仿宋_GB2312" w:eastAsia="仿宋_GB2312" w:cs="仿宋_GB2312"/>
          <w:color w:val="auto"/>
          <w:sz w:val="24"/>
          <w:szCs w:val="24"/>
          <w:lang w:eastAsia="zh-CN"/>
        </w:rPr>
        <w:t>部门</w:t>
      </w:r>
      <w:r>
        <w:rPr>
          <w:rFonts w:hint="eastAsia" w:ascii="仿宋_GB2312" w:hAnsi="仿宋_GB2312" w:eastAsia="仿宋_GB2312" w:cs="仿宋_GB2312"/>
          <w:color w:val="auto"/>
          <w:sz w:val="24"/>
          <w:szCs w:val="24"/>
        </w:rPr>
        <w:t>不涉及某类业务</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导致某项指标不适用的</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该项指标不</w:t>
      </w:r>
      <w:r>
        <w:rPr>
          <w:rFonts w:hint="eastAsia" w:ascii="仿宋_GB2312" w:hAnsi="仿宋_GB2312" w:eastAsia="仿宋_GB2312" w:cs="仿宋_GB2312"/>
          <w:color w:val="auto"/>
          <w:sz w:val="24"/>
          <w:szCs w:val="24"/>
          <w:lang w:val="en-US" w:eastAsia="zh-CN"/>
        </w:rPr>
        <w:t>评</w:t>
      </w:r>
      <w:r>
        <w:rPr>
          <w:rFonts w:hint="eastAsia" w:ascii="仿宋_GB2312" w:hAnsi="仿宋_GB2312" w:eastAsia="仿宋_GB2312" w:cs="仿宋_GB2312"/>
          <w:color w:val="auto"/>
          <w:sz w:val="24"/>
          <w:szCs w:val="24"/>
        </w:rPr>
        <w:t>分</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得分换算公式如下</w:t>
      </w:r>
      <w:r>
        <w:rPr>
          <w:rFonts w:hint="eastAsia" w:ascii="仿宋_GB2312" w:hAnsi="仿宋_GB2312" w:eastAsia="仿宋_GB2312" w:cs="仿宋_GB2312"/>
          <w:color w:val="auto"/>
          <w:sz w:val="24"/>
          <w:szCs w:val="24"/>
          <w:lang w:eastAsia="zh-CN"/>
        </w:rPr>
        <w:t>：</w:t>
      </w:r>
    </w:p>
    <w:p>
      <w:pPr>
        <w:keepNext w:val="0"/>
        <w:keepLines w:val="0"/>
        <w:pageBreakBefore w:val="0"/>
        <w:widowControl w:val="0"/>
        <w:kinsoku/>
        <w:wordWrap/>
        <w:overflowPunct w:val="0"/>
        <w:topLinePunct w:val="0"/>
        <w:autoSpaceDE/>
        <w:autoSpaceDN/>
        <w:bidi w:val="0"/>
        <w:adjustRightInd/>
        <w:snapToGrid/>
        <w:spacing w:line="360" w:lineRule="auto"/>
        <w:ind w:firstLine="960" w:firstLineChars="400"/>
        <w:jc w:val="left"/>
        <w:textAlignment w:val="auto"/>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换算后的</w:t>
      </w:r>
      <w:r>
        <w:rPr>
          <w:rFonts w:hint="eastAsia" w:ascii="仿宋_GB2312" w:hAnsi="仿宋_GB2312" w:eastAsia="仿宋_GB2312" w:cs="仿宋_GB2312"/>
          <w:color w:val="auto"/>
          <w:sz w:val="24"/>
          <w:szCs w:val="24"/>
        </w:rPr>
        <w:t>得分</w:t>
      </w:r>
      <w:r>
        <w:rPr>
          <w:rFonts w:hint="eastAsia" w:ascii="仿宋_GB2312" w:hAnsi="仿宋_GB2312" w:eastAsia="仿宋_GB2312" w:cs="仿宋_GB2312"/>
          <w:color w:val="auto"/>
          <w:sz w:val="24"/>
          <w:szCs w:val="24"/>
          <w:lang w:eastAsia="zh-CN"/>
        </w:rPr>
        <w:t>合计</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CN"/>
        </w:rPr>
        <w:t>换算前的</w:t>
      </w:r>
      <w:r>
        <w:rPr>
          <w:rFonts w:hint="eastAsia" w:ascii="仿宋_GB2312" w:hAnsi="仿宋_GB2312" w:eastAsia="仿宋_GB2312" w:cs="仿宋_GB2312"/>
          <w:color w:val="auto"/>
          <w:sz w:val="24"/>
          <w:szCs w:val="24"/>
        </w:rPr>
        <w:t>得分</w:t>
      </w:r>
      <w:r>
        <w:rPr>
          <w:rFonts w:hint="eastAsia" w:ascii="仿宋_GB2312" w:hAnsi="仿宋_GB2312" w:eastAsia="仿宋_GB2312" w:cs="仿宋_GB2312"/>
          <w:color w:val="auto"/>
          <w:sz w:val="24"/>
          <w:szCs w:val="24"/>
          <w:lang w:eastAsia="zh-CN"/>
        </w:rPr>
        <w:t>合计</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100-不适用指标分值</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*100分</w:t>
      </w:r>
      <w:r>
        <w:rPr>
          <w:rFonts w:hint="eastAsia" w:ascii="仿宋_GB2312" w:hAnsi="仿宋_GB2312" w:eastAsia="仿宋_GB2312" w:cs="仿宋_GB2312"/>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仿宋_GB2312" w:hAnsi="仿宋_GB2312" w:eastAsia="仿宋_GB2312" w:cs="仿宋_GB2312"/>
          <w:color w:val="auto"/>
          <w:sz w:val="24"/>
          <w:szCs w:val="24"/>
          <w:lang w:val="en-US" w:eastAsia="zh-CN"/>
        </w:rPr>
      </w:pPr>
      <w:r>
        <w:rPr>
          <w:rFonts w:hint="default" w:ascii="仿宋_GB2312" w:hAnsi="仿宋_GB2312" w:eastAsia="仿宋_GB2312" w:cs="仿宋_GB2312"/>
          <w:color w:val="auto"/>
          <w:sz w:val="24"/>
          <w:szCs w:val="24"/>
          <w:lang w:eastAsia="zh-CN"/>
        </w:rPr>
        <w:t>2</w:t>
      </w:r>
      <w:r>
        <w:rPr>
          <w:rFonts w:hint="eastAsia" w:ascii="仿宋_GB2312" w:hAnsi="仿宋_GB2312" w:eastAsia="仿宋_GB2312" w:cs="仿宋_GB2312"/>
          <w:color w:val="auto"/>
          <w:sz w:val="24"/>
          <w:szCs w:val="24"/>
          <w:lang w:val="en-US" w:eastAsia="zh-CN"/>
        </w:rPr>
        <w:t>.部门内部控制评价补充指标总分10分，应当结合部门业务特点、风险防控重点设置，可由部门自行制定，也可从部</w:t>
      </w:r>
    </w:p>
    <w:p>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sz w:val="24"/>
          <w:szCs w:val="24"/>
        </w:rPr>
      </w:pPr>
      <w:r>
        <w:rPr>
          <w:rFonts w:hint="eastAsia" w:ascii="仿宋_GB2312" w:hAnsi="仿宋_GB2312" w:eastAsia="仿宋_GB2312" w:cs="仿宋_GB2312"/>
          <w:color w:val="auto"/>
          <w:sz w:val="24"/>
          <w:szCs w:val="24"/>
          <w:lang w:val="en-US" w:eastAsia="zh-CN"/>
        </w:rPr>
        <w:t>门设置的单位补充指标中选择形成。</w:t>
      </w:r>
      <w:r>
        <w:rPr>
          <w:rFonts w:hint="eastAsia" w:ascii="仿宋_GB2312" w:hAnsi="仿宋_GB2312" w:eastAsia="仿宋_GB2312" w:cs="仿宋_GB2312"/>
          <w:sz w:val="24"/>
          <w:szCs w:val="24"/>
          <w:lang w:val="en-US" w:eastAsia="zh-CN"/>
        </w:rPr>
        <w:t>若未设置补充指标，则得分合计换算规则同上。</w:t>
      </w:r>
    </w:p>
    <w:sectPr>
      <w:footerReference r:id="rId3" w:type="default"/>
      <w:pgSz w:w="16838" w:h="11906" w:orient="landscape"/>
      <w:pgMar w:top="1480" w:right="1644" w:bottom="1480" w:left="1984" w:header="851" w:footer="992" w:gutter="0"/>
      <w:pgNumType w:fmt="decimal" w:start="1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EE5222"/>
    <w:rsid w:val="03786440"/>
    <w:rsid w:val="0CDC7188"/>
    <w:rsid w:val="17FF62DD"/>
    <w:rsid w:val="1AE12AAC"/>
    <w:rsid w:val="33A56DF8"/>
    <w:rsid w:val="38EE5222"/>
    <w:rsid w:val="3BEC3B67"/>
    <w:rsid w:val="421A5929"/>
    <w:rsid w:val="4E310A08"/>
    <w:rsid w:val="4F9DBD91"/>
    <w:rsid w:val="578AA999"/>
    <w:rsid w:val="5CDA23D8"/>
    <w:rsid w:val="6B79E14D"/>
    <w:rsid w:val="6DFBD146"/>
    <w:rsid w:val="6FBF448C"/>
    <w:rsid w:val="6FF38E3C"/>
    <w:rsid w:val="6FFFE309"/>
    <w:rsid w:val="72997B90"/>
    <w:rsid w:val="75F542FD"/>
    <w:rsid w:val="77BFEFB3"/>
    <w:rsid w:val="796CFAE1"/>
    <w:rsid w:val="7BD6E66F"/>
    <w:rsid w:val="7BFD73B7"/>
    <w:rsid w:val="7DD79623"/>
    <w:rsid w:val="7DFFA075"/>
    <w:rsid w:val="7F2D5805"/>
    <w:rsid w:val="8E7BF417"/>
    <w:rsid w:val="B77F5318"/>
    <w:rsid w:val="B7D69182"/>
    <w:rsid w:val="BFFF32F1"/>
    <w:rsid w:val="CEFB692B"/>
    <w:rsid w:val="CFDD85B6"/>
    <w:rsid w:val="DFCF8890"/>
    <w:rsid w:val="DFDB7029"/>
    <w:rsid w:val="EFCD807D"/>
    <w:rsid w:val="EFFE5D40"/>
    <w:rsid w:val="FBEFCD86"/>
    <w:rsid w:val="FEED026C"/>
    <w:rsid w:val="FF6F6403"/>
    <w:rsid w:val="FF7F4BD4"/>
    <w:rsid w:val="FFC741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1372</Words>
  <Characters>1389</Characters>
  <Lines>0</Lines>
  <Paragraphs>0</Paragraphs>
  <TotalTime>38</TotalTime>
  <ScaleCrop>false</ScaleCrop>
  <LinksUpToDate>false</LinksUpToDate>
  <CharactersWithSpaces>1389</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2026-01-17T02:38:00Z</dcterms:created>
  <dc:creator>小不点儿</dc:creator>
  <cp:lastModifiedBy>苏晓鸽</cp:lastModifiedBy>
  <cp:lastPrinted>2026-01-29T14:47:00Z</cp:lastPrinted>
  <dcterms:modified xsi:type="dcterms:W3CDTF">2026-03-12T14:02:28Z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BB9E50991BA84E068EB18CE025ABC940_11</vt:lpwstr>
  </property>
  <property fmtid="{D5CDD505-2E9C-101B-9397-08002B2CF9AE}" pid="4" name="KSOTemplateDocerSaveRecord">
    <vt:lpwstr>eyJoZGlkIjoiZWU2NmMxYjY0YTYzZDhkNzc4MDdhYzQyODY4OTJmZDUiLCJ1c2VySWQiOiIxMjg5NDQ5MDU3In0=</vt:lpwstr>
  </property>
</Properties>
</file>